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8795">
      <w:pPr>
        <w:jc w:val="center"/>
        <w:rPr>
          <w:rFonts w:ascii="仿宋" w:hAnsi="仿宋" w:eastAsia="仿宋" w:cs="仿宋"/>
          <w:b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>:</w:t>
      </w:r>
      <w:r>
        <w:rPr>
          <w:rFonts w:hint="eastAsia" w:ascii="仿宋" w:hAnsi="仿宋" w:eastAsia="仿宋" w:cs="仿宋"/>
          <w:b/>
          <w:sz w:val="32"/>
          <w:szCs w:val="32"/>
        </w:rPr>
        <w:t>中文联盟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数智化</w:t>
      </w:r>
      <w:r>
        <w:rPr>
          <w:rFonts w:hint="eastAsia" w:ascii="仿宋" w:hAnsi="仿宋" w:eastAsia="仿宋" w:cs="仿宋"/>
          <w:b/>
          <w:sz w:val="32"/>
          <w:szCs w:val="32"/>
        </w:rPr>
        <w:t>教学“金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课”评选活动</w:t>
      </w: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>评分细则</w:t>
      </w:r>
    </w:p>
    <w:tbl>
      <w:tblPr>
        <w:tblStyle w:val="3"/>
        <w:tblpPr w:leftFromText="180" w:rightFromText="180" w:vertAnchor="page" w:horzAnchor="page" w:tblpX="1839" w:tblpY="23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740"/>
        <w:gridCol w:w="4517"/>
      </w:tblGrid>
      <w:tr w14:paraId="4192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2" w:type="dxa"/>
            <w:vAlign w:val="center"/>
          </w:tcPr>
          <w:p w14:paraId="5D6F112F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2740" w:type="dxa"/>
            <w:vAlign w:val="center"/>
          </w:tcPr>
          <w:p w14:paraId="4FBD1E18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指标</w:t>
            </w:r>
          </w:p>
        </w:tc>
        <w:tc>
          <w:tcPr>
            <w:tcW w:w="4517" w:type="dxa"/>
            <w:vAlign w:val="center"/>
          </w:tcPr>
          <w:p w14:paraId="4CFE9D86">
            <w:pPr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评分标准</w:t>
            </w:r>
          </w:p>
        </w:tc>
      </w:tr>
      <w:tr w14:paraId="7AC0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22" w:type="dxa"/>
            <w:vMerge w:val="restart"/>
            <w:vAlign w:val="center"/>
          </w:tcPr>
          <w:p w14:paraId="2F6008D7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 w14:paraId="452700D9">
            <w:pPr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课程</w:t>
            </w:r>
          </w:p>
          <w:p w14:paraId="6CA3C0E6">
            <w:pPr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设计</w:t>
            </w:r>
          </w:p>
        </w:tc>
        <w:tc>
          <w:tcPr>
            <w:tcW w:w="2740" w:type="dxa"/>
            <w:vAlign w:val="center"/>
          </w:tcPr>
          <w:p w14:paraId="20100773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主题鲜明（15分）</w:t>
            </w:r>
          </w:p>
        </w:tc>
        <w:tc>
          <w:tcPr>
            <w:tcW w:w="4517" w:type="dxa"/>
            <w:vAlign w:val="center"/>
          </w:tcPr>
          <w:p w14:paraId="62F5D59C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采用数智化形式，选取具体角度，主题鲜明有重点。</w:t>
            </w:r>
          </w:p>
        </w:tc>
      </w:tr>
      <w:tr w14:paraId="7F00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22" w:type="dxa"/>
            <w:vMerge w:val="continue"/>
            <w:vAlign w:val="center"/>
          </w:tcPr>
          <w:p w14:paraId="53300D4A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 w14:paraId="7677086C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结构合理（15分）</w:t>
            </w:r>
          </w:p>
        </w:tc>
        <w:tc>
          <w:tcPr>
            <w:tcW w:w="4517" w:type="dxa"/>
            <w:vAlign w:val="center"/>
          </w:tcPr>
          <w:p w14:paraId="57A0AB6B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课程结构完整，详略得当，逻辑性强。</w:t>
            </w:r>
          </w:p>
        </w:tc>
      </w:tr>
      <w:tr w14:paraId="6620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22" w:type="dxa"/>
            <w:vMerge w:val="continue"/>
            <w:vAlign w:val="center"/>
          </w:tcPr>
          <w:p w14:paraId="01F285FE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 w14:paraId="0A58F14B">
            <w:pPr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18D07770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内容完整（15分）</w:t>
            </w:r>
          </w:p>
          <w:p w14:paraId="7350C3C8">
            <w:pPr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4517" w:type="dxa"/>
            <w:vAlign w:val="center"/>
          </w:tcPr>
          <w:p w14:paraId="66E1495B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内容完整，选取事例恰当，理论联系实际，解决重难点问题。</w:t>
            </w:r>
          </w:p>
        </w:tc>
      </w:tr>
      <w:tr w14:paraId="523A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22" w:type="dxa"/>
            <w:vMerge w:val="continue"/>
            <w:vAlign w:val="center"/>
          </w:tcPr>
          <w:p w14:paraId="1BD284CD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 w14:paraId="0724E559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课件制作（10分）</w:t>
            </w:r>
          </w:p>
        </w:tc>
        <w:tc>
          <w:tcPr>
            <w:tcW w:w="4517" w:type="dxa"/>
            <w:vAlign w:val="center"/>
          </w:tcPr>
          <w:p w14:paraId="67B59F48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课件制作美观、设计合理。</w:t>
            </w:r>
          </w:p>
        </w:tc>
      </w:tr>
      <w:tr w14:paraId="50BE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22" w:type="dxa"/>
            <w:vMerge w:val="restart"/>
            <w:vAlign w:val="center"/>
          </w:tcPr>
          <w:p w14:paraId="0A0570C2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 w14:paraId="6439248E">
            <w:pPr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授课</w:t>
            </w:r>
          </w:p>
          <w:p w14:paraId="2B49AEE8">
            <w:pPr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水平</w:t>
            </w:r>
          </w:p>
          <w:p w14:paraId="6A362591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 w14:paraId="2DC96A11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仪表仪态（5分）</w:t>
            </w:r>
          </w:p>
        </w:tc>
        <w:tc>
          <w:tcPr>
            <w:tcW w:w="4517" w:type="dxa"/>
            <w:vAlign w:val="center"/>
          </w:tcPr>
          <w:p w14:paraId="26E6C005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仪表端庄，整洁大方。</w:t>
            </w:r>
          </w:p>
        </w:tc>
      </w:tr>
      <w:tr w14:paraId="5092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22" w:type="dxa"/>
            <w:vMerge w:val="continue"/>
            <w:vAlign w:val="center"/>
          </w:tcPr>
          <w:p w14:paraId="0B8040A1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 w14:paraId="0A523E4B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课堂设计（10分）</w:t>
            </w:r>
          </w:p>
        </w:tc>
        <w:tc>
          <w:tcPr>
            <w:tcW w:w="4517" w:type="dxa"/>
            <w:vAlign w:val="center"/>
          </w:tcPr>
          <w:p w14:paraId="20B21528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授课环节设计清晰，过渡自然，鼓励创新。</w:t>
            </w:r>
          </w:p>
        </w:tc>
      </w:tr>
      <w:tr w14:paraId="589F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22" w:type="dxa"/>
            <w:vMerge w:val="continue"/>
            <w:vAlign w:val="center"/>
          </w:tcPr>
          <w:p w14:paraId="0EB2E6E8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 w14:paraId="42853304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语言表达（15分）</w:t>
            </w:r>
          </w:p>
        </w:tc>
        <w:tc>
          <w:tcPr>
            <w:tcW w:w="4517" w:type="dxa"/>
            <w:vAlign w:val="center"/>
          </w:tcPr>
          <w:p w14:paraId="0AED714B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语言表达准确得当、简洁精准、声音洪亮清楚，语调语速与授课内容有机结合。</w:t>
            </w:r>
          </w:p>
        </w:tc>
      </w:tr>
      <w:tr w14:paraId="0D94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22" w:type="dxa"/>
            <w:vMerge w:val="restart"/>
            <w:vAlign w:val="center"/>
          </w:tcPr>
          <w:p w14:paraId="407CF121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授课效果</w:t>
            </w:r>
          </w:p>
        </w:tc>
        <w:tc>
          <w:tcPr>
            <w:tcW w:w="2740" w:type="dxa"/>
            <w:vAlign w:val="center"/>
          </w:tcPr>
          <w:p w14:paraId="1BDC946A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目标达成（5分）</w:t>
            </w:r>
          </w:p>
        </w:tc>
        <w:tc>
          <w:tcPr>
            <w:tcW w:w="4517" w:type="dxa"/>
            <w:vAlign w:val="center"/>
          </w:tcPr>
          <w:p w14:paraId="7FC17ED2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实现教学效果，完成授课目标。</w:t>
            </w:r>
          </w:p>
        </w:tc>
      </w:tr>
      <w:tr w14:paraId="75BD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22" w:type="dxa"/>
            <w:vMerge w:val="continue"/>
            <w:vAlign w:val="center"/>
          </w:tcPr>
          <w:p w14:paraId="6A2E1A5B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 w14:paraId="247285D8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授课吸引力（5分）</w:t>
            </w:r>
          </w:p>
        </w:tc>
        <w:tc>
          <w:tcPr>
            <w:tcW w:w="4517" w:type="dxa"/>
            <w:vAlign w:val="center"/>
          </w:tcPr>
          <w:p w14:paraId="7DC58D68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引起学生兴趣，调动学习热情</w:t>
            </w:r>
          </w:p>
        </w:tc>
      </w:tr>
      <w:tr w14:paraId="7607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22" w:type="dxa"/>
            <w:vMerge w:val="continue"/>
            <w:vAlign w:val="center"/>
          </w:tcPr>
          <w:p w14:paraId="134E1033">
            <w:pPr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 w14:paraId="7D51CDD4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推广价值（5分）</w:t>
            </w:r>
          </w:p>
        </w:tc>
        <w:tc>
          <w:tcPr>
            <w:tcW w:w="4517" w:type="dxa"/>
            <w:vAlign w:val="center"/>
          </w:tcPr>
          <w:p w14:paraId="6BDF6B17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有示范和引领作用，可推广</w:t>
            </w:r>
          </w:p>
        </w:tc>
      </w:tr>
    </w:tbl>
    <w:p w14:paraId="649F8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18F94852"/>
    <w:rsid w:val="18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2024-08-16T05:49:00Z</dcterms:created>
  <dc:creator>绳世仁</dc:creator>
  <cp:lastModifiedBy>绳世仁</cp:lastModifiedBy>
  <dcterms:modified xsi:type="dcterms:W3CDTF">2024-08-16T05:51:21Z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045AC0D3AB304F498CDFF2B89E91E16B_11</vt:lpwstr>
  </property>
</Properties>
</file>