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AE87">
      <w:pPr>
        <w:rPr>
          <w:rFonts w:eastAsia="仿宋_GB231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附件8：中文联盟数智化“金牌教学工具”评分细则</w:t>
      </w:r>
    </w:p>
    <w:bookmarkEnd w:id="0"/>
    <w:tbl>
      <w:tblPr>
        <w:tblStyle w:val="4"/>
        <w:tblpPr w:leftFromText="180" w:rightFromText="180" w:vertAnchor="page" w:horzAnchor="page" w:tblpX="1874" w:tblpY="2381"/>
        <w:tblW w:w="7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5395"/>
      </w:tblGrid>
      <w:tr w14:paraId="231D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64" w:type="dxa"/>
            <w:vAlign w:val="center"/>
          </w:tcPr>
          <w:p w14:paraId="0B4A40B0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5395" w:type="dxa"/>
            <w:vAlign w:val="center"/>
          </w:tcPr>
          <w:p w14:paraId="5A440666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评分标准</w:t>
            </w:r>
          </w:p>
        </w:tc>
      </w:tr>
      <w:tr w14:paraId="21AF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464" w:type="dxa"/>
            <w:vAlign w:val="center"/>
          </w:tcPr>
          <w:p w14:paraId="5EB54C64">
            <w:pPr>
              <w:pStyle w:val="2"/>
              <w:widowControl/>
              <w:shd w:val="clear" w:color="auto" w:fill="FDFDFE"/>
              <w:spacing w:before="210" w:beforeAutospacing="0" w:after="120" w:afterAutospacing="0" w:line="26" w:lineRule="atLeast"/>
              <w:jc w:val="center"/>
              <w:outlineLvl w:val="3"/>
              <w:rPr>
                <w:rFonts w:hint="default" w:ascii="仿宋_GB2312" w:hAnsi="仿宋" w:eastAsia="仿宋_GB2312" w:cstheme="minorBidi"/>
                <w:b w:val="0"/>
                <w:bCs w:val="0"/>
                <w:kern w:val="2"/>
                <w:sz w:val="28"/>
                <w:szCs w:val="28"/>
                <w:lang w:bidi="ar-SA"/>
              </w:rPr>
            </w:pPr>
            <w:r>
              <w:rPr>
                <w:rFonts w:hint="default" w:ascii="仿宋_GB2312" w:hAnsi="仿宋" w:eastAsia="仿宋_GB2312" w:cstheme="minorBidi"/>
                <w:b w:val="0"/>
                <w:bCs w:val="0"/>
                <w:kern w:val="2"/>
                <w:sz w:val="28"/>
                <w:szCs w:val="28"/>
                <w:lang w:bidi="ar-SA"/>
              </w:rPr>
              <w:t>功能性与实用性</w:t>
            </w:r>
          </w:p>
          <w:p w14:paraId="0DF534A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（30分）</w:t>
            </w:r>
          </w:p>
        </w:tc>
        <w:tc>
          <w:tcPr>
            <w:tcW w:w="5395" w:type="dxa"/>
            <w:vAlign w:val="center"/>
          </w:tcPr>
          <w:p w14:paraId="237F029D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教学工具满足国际中文教学实际需求，能够显著提升教学效果；具备良好的可扩展性，能根据教学需求进行功能定制和升级。</w:t>
            </w:r>
          </w:p>
        </w:tc>
      </w:tr>
      <w:tr w14:paraId="3DF4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2464" w:type="dxa"/>
            <w:vAlign w:val="center"/>
          </w:tcPr>
          <w:p w14:paraId="5F10431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技术创新与特色（30分）</w:t>
            </w:r>
          </w:p>
        </w:tc>
        <w:tc>
          <w:tcPr>
            <w:tcW w:w="5395" w:type="dxa"/>
            <w:vAlign w:val="center"/>
          </w:tcPr>
          <w:p w14:paraId="49CAC292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教学工具采用先进的技术手段，以提升教学效果和学习体验；具有独特的创新点或特色功能，能够区别于其他同类工具，为中文教学带来新的活力。</w:t>
            </w:r>
          </w:p>
        </w:tc>
      </w:tr>
      <w:tr w14:paraId="74EC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464" w:type="dxa"/>
            <w:vAlign w:val="center"/>
          </w:tcPr>
          <w:p w14:paraId="799E304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教学效果</w:t>
            </w:r>
          </w:p>
          <w:p w14:paraId="1A2F98D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（20分）</w:t>
            </w:r>
          </w:p>
        </w:tc>
        <w:tc>
          <w:tcPr>
            <w:tcW w:w="5395" w:type="dxa"/>
            <w:vAlign w:val="center"/>
          </w:tcPr>
          <w:p w14:paraId="00B3665E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教学工具能显著提高学生的学习效果，包括语言技能、文化素养、交际能力等方面的提升。</w:t>
            </w:r>
          </w:p>
        </w:tc>
      </w:tr>
      <w:tr w14:paraId="75C0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464" w:type="dxa"/>
            <w:vAlign w:val="center"/>
          </w:tcPr>
          <w:p w14:paraId="6E400A1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用户体验</w:t>
            </w:r>
          </w:p>
          <w:p w14:paraId="47D9993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（10分）</w:t>
            </w:r>
          </w:p>
        </w:tc>
        <w:tc>
          <w:tcPr>
            <w:tcW w:w="5395" w:type="dxa"/>
            <w:vAlign w:val="center"/>
          </w:tcPr>
          <w:p w14:paraId="7F60CDBD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工具的用户界面友好，操作简便，用户快速上手并有效利用各项功能。</w:t>
            </w:r>
          </w:p>
        </w:tc>
      </w:tr>
      <w:tr w14:paraId="1B4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2464" w:type="dxa"/>
            <w:vAlign w:val="center"/>
          </w:tcPr>
          <w:p w14:paraId="43F54C9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安全性与稳定性</w:t>
            </w:r>
          </w:p>
          <w:p w14:paraId="4489599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（10分）</w:t>
            </w:r>
          </w:p>
        </w:tc>
        <w:tc>
          <w:tcPr>
            <w:tcW w:w="5395" w:type="dxa"/>
            <w:vAlign w:val="center"/>
          </w:tcPr>
          <w:p w14:paraId="15DD1E92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保障用户数据的安全性和隐私性，遵守相关法律法规和伦理规范；教学工具应具备良好的稳定性和可靠性，避免在教学过程中出现卡顿、崩溃等问题。</w:t>
            </w:r>
          </w:p>
        </w:tc>
      </w:tr>
    </w:tbl>
    <w:p w14:paraId="071DE0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70EC38C8"/>
    <w:rsid w:val="70E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2024-08-16T05:53:00Z</dcterms:created>
  <dc:creator>绳世仁</dc:creator>
  <cp:lastModifiedBy>绳世仁</cp:lastModifiedBy>
  <dcterms:modified xsi:type="dcterms:W3CDTF">2024-08-16T05:53:25Z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871C37928B4B4D74B363605AE9106015_11</vt:lpwstr>
  </property>
</Properties>
</file>